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544" w:rsidRPr="00780916" w:rsidRDefault="00780916" w:rsidP="00780916">
      <w:pPr>
        <w:jc w:val="center"/>
        <w:rPr>
          <w:rFonts w:ascii="LilyUPC" w:hAnsi="LilyUPC" w:cs="LilyUPC"/>
          <w:b/>
          <w:bCs/>
          <w:color w:val="002060"/>
          <w:sz w:val="36"/>
          <w:szCs w:val="44"/>
        </w:rPr>
      </w:pPr>
      <w:r w:rsidRPr="00780916">
        <w:rPr>
          <w:rFonts w:ascii="LilyUPC" w:hAnsi="LilyUPC" w:cs="LilyUPC"/>
          <w:b/>
          <w:bCs/>
          <w:color w:val="002060"/>
          <w:sz w:val="36"/>
          <w:szCs w:val="44"/>
        </w:rPr>
        <w:t xml:space="preserve">Eb4 </w:t>
      </w:r>
      <w:r w:rsidRPr="00780916">
        <w:rPr>
          <w:rFonts w:ascii="LilyUPC" w:hAnsi="LilyUPC" w:cs="LilyUPC"/>
          <w:b/>
          <w:bCs/>
          <w:color w:val="002060"/>
          <w:sz w:val="36"/>
          <w:szCs w:val="44"/>
          <w:cs/>
        </w:rPr>
        <w:t>รายละเอียดวิธีการและขั้นตอนการจัดซื้อจัดจ้างอย่างเป็นระบบ</w:t>
      </w:r>
    </w:p>
    <w:p w:rsidR="00780916" w:rsidRDefault="00780916"/>
    <w:p w:rsidR="00780916" w:rsidRDefault="00780916">
      <w:bookmarkStart w:id="0" w:name="_GoBack"/>
      <w:r>
        <w:rPr>
          <w:noProof/>
        </w:rPr>
        <w:drawing>
          <wp:inline distT="0" distB="0" distL="0" distR="0">
            <wp:extent cx="5731510" cy="6172200"/>
            <wp:effectExtent l="0" t="0" r="254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09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16"/>
    <w:rsid w:val="00780916"/>
    <w:rsid w:val="00B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D34A2"/>
  <w15:chartTrackingRefBased/>
  <w15:docId w15:val="{ED54CB5B-6BF9-4A45-9063-DAB11E5A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1</cp:revision>
  <dcterms:created xsi:type="dcterms:W3CDTF">2020-03-17T08:31:00Z</dcterms:created>
  <dcterms:modified xsi:type="dcterms:W3CDTF">2020-03-17T08:34:00Z</dcterms:modified>
</cp:coreProperties>
</file>